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</w:pPr>
      <w:r>
        <w:rPr>
          <w:rFonts w:ascii="Georgia" w:cs="Georgia" w:eastAsia="Georgia" w:hAnsi="Georgia"/>
          <w:b/>
          <w:bCs/>
          <w:color w:val="1A1208"/>
          <w:sz w:val="56"/>
          <w:szCs w:val="56"/>
        </w:rPr>
        <w:t xml:space="preserve">Jason A. Dalrymple</w:t>
      </w:r>
    </w:p>
    <w:p>
      <w:pPr>
        <w:spacing w:after="80"/>
      </w:pPr>
      <w:r>
        <w:rPr>
          <w:rFonts w:ascii="Georgia" w:cs="Georgia" w:eastAsia="Georgia" w:hAnsi="Georgia"/>
          <w:i/>
          <w:iCs/>
          <w:color w:val="9C6418"/>
          <w:sz w:val="26"/>
          <w:szCs w:val="26"/>
        </w:rPr>
        <w:t xml:space="preserve">eLearning Instructional Designer</w:t>
      </w:r>
    </w:p>
    <w:p>
      <w:pPr>
        <w:pBdr>
          <w:bottom w:val="single" w:color="9C6418" w:sz="16" w:space="4"/>
        </w:pBdr>
        <w:spacing w:after="100"/>
      </w:pPr>
    </w:p>
    <w:p>
      <w:pPr>
        <w:spacing w:before="100" w:after="0"/>
      </w:pPr>
      <w:r>
        <w:rPr>
          <w:rFonts w:ascii="Arial" w:cs="Arial" w:eastAsia="Arial" w:hAnsi="Arial"/>
          <w:color w:val="6B5A3E"/>
          <w:sz w:val="18"/>
          <w:szCs w:val="18"/>
        </w:rPr>
        <w:t xml:space="preserve">612-759-1184</w:t>
      </w:r>
      <w:r>
        <w:rPr>
          <w:rFonts w:ascii="Arial" w:cs="Arial" w:eastAsia="Arial" w:hAnsi="Arial"/>
          <w:color w:val="9C6418"/>
          <w:sz w:val="18"/>
          <w:szCs w:val="18"/>
        </w:rPr>
        <w:t xml:space="preserve">   •   </w:t>
      </w:r>
      <w:r>
        <w:rPr>
          <w:rFonts w:ascii="Arial" w:cs="Arial" w:eastAsia="Arial" w:hAnsi="Arial"/>
          <w:color w:val="6B5A3E"/>
          <w:sz w:val="18"/>
          <w:szCs w:val="18"/>
        </w:rPr>
        <w:t xml:space="preserve">jason.a.dal@gmail.com</w:t>
      </w:r>
      <w:r>
        <w:rPr>
          <w:rFonts w:ascii="Arial" w:cs="Arial" w:eastAsia="Arial" w:hAnsi="Arial"/>
          <w:color w:val="9C6418"/>
          <w:sz w:val="18"/>
          <w:szCs w:val="18"/>
        </w:rPr>
        <w:t xml:space="preserve">   •   </w:t>
      </w:r>
      <w:r>
        <w:rPr>
          <w:rFonts w:ascii="Arial" w:cs="Arial" w:eastAsia="Arial" w:hAnsi="Arial"/>
          <w:color w:val="6B5A3E"/>
          <w:sz w:val="18"/>
          <w:szCs w:val="18"/>
        </w:rPr>
        <w:t xml:space="preserve">linkedin.com/in/jasonadalrymple</w:t>
      </w:r>
    </w:p>
    <w:p>
      <w:pPr>
        <w:pBdr>
          <w:bottom w:val="single" w:color="9C6418" w:sz="12" w:space="4"/>
        </w:pBdr>
        <w:spacing w:before="320" w:after="100"/>
      </w:pPr>
      <w:r>
        <w:rPr>
          <w:rFonts w:ascii="Georgia" w:cs="Georgia" w:eastAsia="Georgia" w:hAnsi="Georgia"/>
          <w:b/>
          <w:bCs/>
          <w:color w:val="9C6418"/>
          <w:spacing w:val="60"/>
          <w:sz w:val="20"/>
          <w:szCs w:val="20"/>
        </w:rPr>
        <w:t xml:space="preserve">PROFESSIONAL SUMMARY</w:t>
      </w:r>
    </w:p>
    <w:p>
      <w:pPr>
        <w:spacing w:before="120" w:after="0"/>
      </w:pPr>
      <w:r>
        <w:rPr>
          <w:rFonts w:ascii="Arial" w:cs="Arial" w:eastAsia="Arial" w:hAnsi="Arial"/>
          <w:color w:val="2E2416"/>
          <w:sz w:val="20"/>
          <w:szCs w:val="20"/>
        </w:rPr>
        <w:t xml:space="preserve">eLearning Instructional Designer with 12+ years of experience creating engaging, accessible learning that drives real performance outcomes. I’m always asking the same question: “Who are your learners, and what do they need to be able to do?” From needs analysis to final interaction, I design experiences rather than lessons — using simulations, branching scenarios, video, and microlearning to make training stick.</w:t>
      </w:r>
    </w:p>
    <w:p>
      <w:pPr>
        <w:pBdr>
          <w:bottom w:val="single" w:color="9C6418" w:sz="12" w:space="4"/>
        </w:pBdr>
        <w:spacing w:before="320" w:after="100"/>
      </w:pPr>
      <w:r>
        <w:rPr>
          <w:rFonts w:ascii="Georgia" w:cs="Georgia" w:eastAsia="Georgia" w:hAnsi="Georgia"/>
          <w:b/>
          <w:bCs/>
          <w:color w:val="9C6418"/>
          <w:spacing w:val="60"/>
          <w:sz w:val="20"/>
          <w:szCs w:val="20"/>
        </w:rPr>
        <w:t xml:space="preserve">EXPERIENCE</w:t>
      </w:r>
    </w:p>
    <w:p>
      <w:pPr>
        <w:spacing w:before="200" w:after="20"/>
      </w:pPr>
      <w:r>
        <w:rPr>
          <w:rFonts w:ascii="Georgia" w:cs="Georgia" w:eastAsia="Georgia" w:hAnsi="Georgia"/>
          <w:b/>
          <w:bCs/>
          <w:color w:val="1A1208"/>
          <w:sz w:val="22"/>
          <w:szCs w:val="22"/>
        </w:rPr>
        <w:t xml:space="preserve">eLearning Instructional Designer</w:t>
      </w:r>
    </w:p>
    <w:p>
      <w:pPr>
        <w:spacing w:after="20"/>
      </w:pPr>
      <w:r>
        <w:rPr>
          <w:rFonts w:ascii="Arial" w:cs="Arial" w:eastAsia="Arial" w:hAnsi="Arial"/>
          <w:color w:val="9C6418"/>
          <w:sz w:val="19"/>
          <w:szCs w:val="19"/>
        </w:rPr>
        <w:t xml:space="preserve">Minnesota Department of Children, Youth and Families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9E8B70"/>
          <w:sz w:val="17"/>
          <w:szCs w:val="17"/>
        </w:rPr>
        <w:t xml:space="preserve">Aug 2016 – Present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Design and develop online learning components including interactive simulations, training videos, and assessments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Assess training needs and recommend solutions based on established needs assessment practices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Created blended learning solution that reduced classroom training by 12 hours, leading to significant cost reductions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Analyze training effectiveness through Kirkpatrick Level 1 assessment, including satisfaction and knowledge retention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Collaborate with subject matter experts (SMEs) for content accuracy and technical testing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Manage all training access, registration, and completion in the organization’s learning management system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Adhere to ADA and WCAG 2.1 AA accessibility standards across all learning content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Create and maintain content templates for use across the training team</w:t>
      </w:r>
    </w:p>
    <w:p>
      <w:pPr>
        <w:pBdr>
          <w:bottom w:val="single" w:color="D9CDB8" w:sz="4" w:space="2"/>
        </w:pBdr>
        <w:spacing w:before="160" w:after="0"/>
      </w:pPr>
    </w:p>
    <w:p>
      <w:pPr>
        <w:spacing w:before="200" w:after="20"/>
      </w:pPr>
      <w:r>
        <w:rPr>
          <w:rFonts w:ascii="Georgia" w:cs="Georgia" w:eastAsia="Georgia" w:hAnsi="Georgia"/>
          <w:b/>
          <w:bCs/>
          <w:color w:val="1A1208"/>
          <w:sz w:val="22"/>
          <w:szCs w:val="22"/>
        </w:rPr>
        <w:t xml:space="preserve">Training &amp; Testing Coordinator</w:t>
      </w:r>
    </w:p>
    <w:p>
      <w:pPr>
        <w:spacing w:after="20"/>
      </w:pPr>
      <w:r>
        <w:rPr>
          <w:rFonts w:ascii="Arial" w:cs="Arial" w:eastAsia="Arial" w:hAnsi="Arial"/>
          <w:color w:val="9C6418"/>
          <w:sz w:val="19"/>
          <w:szCs w:val="19"/>
        </w:rPr>
        <w:t xml:space="preserve">UCare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9E8B70"/>
          <w:sz w:val="17"/>
          <w:szCs w:val="17"/>
        </w:rPr>
        <w:t xml:space="preserve">Feb 2014 – Aug 2016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Assessed training needs based on requests and claim processing audit results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Developed, maintained, implemented, and audited core training curriculum including job aids and scripts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Established customized curricula for new hire onboarding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Cornerstone Learning Management System administrator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Participated in pilot and initial migration to Cornerstone LMS</w:t>
      </w:r>
    </w:p>
    <w:p>
      <w:pPr>
        <w:pBdr>
          <w:bottom w:val="single" w:color="D9CDB8" w:sz="4" w:space="2"/>
        </w:pBdr>
        <w:spacing w:before="160" w:after="0"/>
      </w:pPr>
    </w:p>
    <w:p>
      <w:pPr>
        <w:spacing w:before="200" w:after="20"/>
      </w:pPr>
      <w:r>
        <w:rPr>
          <w:rFonts w:ascii="Georgia" w:cs="Georgia" w:eastAsia="Georgia" w:hAnsi="Georgia"/>
          <w:b/>
          <w:bCs/>
          <w:color w:val="1A1208"/>
          <w:sz w:val="22"/>
          <w:szCs w:val="22"/>
        </w:rPr>
        <w:t xml:space="preserve">Claims Examiner</w:t>
      </w:r>
    </w:p>
    <w:p>
      <w:pPr>
        <w:spacing w:after="20"/>
      </w:pPr>
      <w:r>
        <w:rPr>
          <w:rFonts w:ascii="Arial" w:cs="Arial" w:eastAsia="Arial" w:hAnsi="Arial"/>
          <w:color w:val="9C6418"/>
          <w:sz w:val="19"/>
          <w:szCs w:val="19"/>
        </w:rPr>
        <w:t xml:space="preserve">UCare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9E8B70"/>
          <w:sz w:val="17"/>
          <w:szCs w:val="17"/>
        </w:rPr>
        <w:t xml:space="preserve">May 2013 – Feb 2014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Processed medical and mental health claims based on established processing guidelines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Supported peers with questions on claims processing workflows and information access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6B5A3E"/>
          <w:sz w:val="19"/>
          <w:szCs w:val="19"/>
        </w:rPr>
        <w:t xml:space="preserve">Participated in Centers for Medicare and Medicaid Work Instruction cross-departmental audit project</w:t>
      </w:r>
    </w:p>
    <w:p>
      <w:pPr>
        <w:pBdr>
          <w:bottom w:val="single" w:color="9C6418" w:sz="12" w:space="4"/>
        </w:pBdr>
        <w:spacing w:before="320" w:after="100"/>
      </w:pPr>
      <w:r>
        <w:rPr>
          <w:rFonts w:ascii="Georgia" w:cs="Georgia" w:eastAsia="Georgia" w:hAnsi="Georgia"/>
          <w:b/>
          <w:bCs/>
          <w:color w:val="9C6418"/>
          <w:spacing w:val="60"/>
          <w:sz w:val="20"/>
          <w:szCs w:val="20"/>
        </w:rPr>
        <w:t xml:space="preserve">SKILLS &amp; TOOLS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Authoring:  </w:t>
      </w:r>
      <w:r>
        <w:rPr>
          <w:rFonts w:ascii="Arial" w:cs="Arial" w:eastAsia="Arial" w:hAnsi="Arial"/>
          <w:color w:val="6B5A3E"/>
          <w:sz w:val="19"/>
          <w:szCs w:val="19"/>
        </w:rPr>
        <w:t xml:space="preserve">Articulate Storyline 360, Articulate Rise 360, Lectora Desktop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Development:  </w:t>
      </w:r>
      <w:r>
        <w:rPr>
          <w:rFonts w:ascii="Arial" w:cs="Arial" w:eastAsia="Arial" w:hAnsi="Arial"/>
          <w:color w:val="6B5A3E"/>
          <w:sz w:val="19"/>
          <w:szCs w:val="19"/>
        </w:rPr>
        <w:t xml:space="preserve">HTML5, CSS, JavaScript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Production:  </w:t>
      </w:r>
      <w:r>
        <w:rPr>
          <w:rFonts w:ascii="Arial" w:cs="Arial" w:eastAsia="Arial" w:hAnsi="Arial"/>
          <w:color w:val="6B5A3E"/>
          <w:sz w:val="19"/>
          <w:szCs w:val="19"/>
        </w:rPr>
        <w:t xml:space="preserve">Adobe Creative Suite, Camtasia Studio, Snagit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LMS Platforms:  </w:t>
      </w:r>
      <w:r>
        <w:rPr>
          <w:rFonts w:ascii="Arial" w:cs="Arial" w:eastAsia="Arial" w:hAnsi="Arial"/>
          <w:color w:val="6B5A3E"/>
          <w:sz w:val="19"/>
          <w:szCs w:val="19"/>
        </w:rPr>
        <w:t xml:space="preserve">Cornerstone Galaxy Learn, Canvas LMS, Pathlore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Methodologies:  </w:t>
      </w:r>
      <w:r>
        <w:rPr>
          <w:rFonts w:ascii="Arial" w:cs="Arial" w:eastAsia="Arial" w:hAnsi="Arial"/>
          <w:color w:val="6B5A3E"/>
          <w:sz w:val="19"/>
          <w:szCs w:val="19"/>
        </w:rPr>
        <w:t xml:space="preserve">ADDIE, SAM, CCAF, Kirkpatrick Evaluation Model</w:t>
      </w:r>
    </w:p>
    <w:p>
      <w:pPr>
        <w:spacing w:before="60" w:after="4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Standards:  </w:t>
      </w:r>
      <w:r>
        <w:rPr>
          <w:rFonts w:ascii="Arial" w:cs="Arial" w:eastAsia="Arial" w:hAnsi="Arial"/>
          <w:color w:val="6B5A3E"/>
          <w:sz w:val="19"/>
          <w:szCs w:val="19"/>
        </w:rPr>
        <w:t xml:space="preserve">ADA, WCAG 2.1 AA, Section 508</w:t>
      </w:r>
    </w:p>
    <w:p>
      <w:pPr>
        <w:pBdr>
          <w:bottom w:val="single" w:color="9C6418" w:sz="12" w:space="4"/>
        </w:pBdr>
        <w:spacing w:before="320" w:after="100"/>
      </w:pPr>
      <w:r>
        <w:rPr>
          <w:rFonts w:ascii="Georgia" w:cs="Georgia" w:eastAsia="Georgia" w:hAnsi="Georgia"/>
          <w:b/>
          <w:bCs/>
          <w:color w:val="9C6418"/>
          <w:spacing w:val="60"/>
          <w:sz w:val="20"/>
          <w:szCs w:val="20"/>
        </w:rPr>
        <w:t xml:space="preserve">EDUCATION &amp; CREDENTIALS</w:t>
      </w:r>
    </w:p>
    <w:p>
      <w:pPr>
        <w:spacing w:before="120" w:after="2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B.A. English with Psychology Minor</w:t>
      </w:r>
    </w:p>
    <w:p>
      <w:pPr>
        <w:spacing w:after="80"/>
      </w:pPr>
      <w:r>
        <w:rPr>
          <w:rFonts w:ascii="Arial" w:cs="Arial" w:eastAsia="Arial" w:hAnsi="Arial"/>
          <w:color w:val="9E8B70"/>
          <w:sz w:val="17"/>
          <w:szCs w:val="17"/>
        </w:rPr>
        <w:t xml:space="preserve">Sacred Heart University</w:t>
      </w:r>
    </w:p>
    <w:p>
      <w:pPr>
        <w:spacing w:before="80" w:after="2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Advanced eLearning Instructional Design Certification</w:t>
      </w:r>
    </w:p>
    <w:p>
      <w:pPr>
        <w:spacing w:after="60"/>
      </w:pPr>
      <w:r>
        <w:rPr>
          <w:rFonts w:ascii="Arial" w:cs="Arial" w:eastAsia="Arial" w:hAnsi="Arial"/>
          <w:color w:val="9E8B70"/>
          <w:sz w:val="17"/>
          <w:szCs w:val="17"/>
        </w:rPr>
        <w:t xml:space="preserve">ATD / Allen Interactions  •  2018</w:t>
      </w:r>
    </w:p>
    <w:p>
      <w:pPr>
        <w:spacing w:before="60" w:after="2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Professional Train the Trainer Certification</w:t>
      </w:r>
    </w:p>
    <w:p>
      <w:pPr>
        <w:spacing w:after="60"/>
      </w:pPr>
      <w:r>
        <w:rPr>
          <w:rFonts w:ascii="Arial" w:cs="Arial" w:eastAsia="Arial" w:hAnsi="Arial"/>
          <w:color w:val="9E8B70"/>
          <w:sz w:val="17"/>
          <w:szCs w:val="17"/>
        </w:rPr>
        <w:t xml:space="preserve">University of Minnesota  •  2014</w:t>
      </w:r>
    </w:p>
    <w:p>
      <w:pPr>
        <w:spacing w:before="60" w:after="2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Articulate Storyline 360 Advanced  /  Basics  /  Rise 360</w:t>
      </w:r>
    </w:p>
    <w:p>
      <w:pPr>
        <w:spacing w:after="60"/>
      </w:pPr>
      <w:r>
        <w:rPr>
          <w:rFonts w:ascii="Arial" w:cs="Arial" w:eastAsia="Arial" w:hAnsi="Arial"/>
          <w:color w:val="9E8B70"/>
          <w:sz w:val="17"/>
          <w:szCs w:val="17"/>
        </w:rPr>
        <w:t xml:space="preserve">Yukon Learning  •  2024</w:t>
      </w:r>
    </w:p>
    <w:p>
      <w:pPr>
        <w:spacing w:before="60" w:after="20"/>
      </w:pPr>
      <w:r>
        <w:rPr>
          <w:rFonts w:ascii="Arial" w:cs="Arial" w:eastAsia="Arial" w:hAnsi="Arial"/>
          <w:b/>
          <w:bCs/>
          <w:color w:val="1A1208"/>
          <w:sz w:val="19"/>
          <w:szCs w:val="19"/>
        </w:rPr>
        <w:t xml:space="preserve">Storyline 360 Introductory Training</w:t>
      </w:r>
    </w:p>
    <w:p>
      <w:pPr>
        <w:spacing w:after="60"/>
      </w:pPr>
      <w:r>
        <w:rPr>
          <w:rFonts w:ascii="Arial" w:cs="Arial" w:eastAsia="Arial" w:hAnsi="Arial"/>
          <w:color w:val="9E8B70"/>
          <w:sz w:val="17"/>
          <w:szCs w:val="17"/>
        </w:rPr>
        <w:t xml:space="preserve">ThinkBig  •  2020</w:t>
      </w:r>
    </w:p>
    <w:sectPr>
      <w:pgSz w:w="12240" w:h="15840" w:orient="portrait"/>
      <w:pgMar w:top="1080" w:right="108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color w:val="9C6418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2026-04-06T19:32:00.132Z</dcterms:created>
  <dcterms:modified xsi:type="dcterms:W3CDTF">2026-04-06T19:32:00.132Z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